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b/>
          <w:sz w:val="36"/>
        </w:rPr>
      </w:pPr>
    </w:p>
    <w:p>
      <w:pPr>
        <w:spacing w:line="480" w:lineRule="auto"/>
        <w:jc w:val="center"/>
        <w:rPr>
          <w:b/>
          <w:sz w:val="36"/>
        </w:rPr>
      </w:pPr>
    </w:p>
    <w:p>
      <w:pPr>
        <w:spacing w:line="480" w:lineRule="auto"/>
        <w:jc w:val="center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唐山市建筑工程中等专业学校骨干专业建设</w:t>
      </w:r>
    </w:p>
    <w:p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>
      <w:pPr>
        <w:spacing w:line="480" w:lineRule="auto"/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</w:rPr>
        <w:t>佐 证 材 料</w:t>
      </w:r>
    </w:p>
    <w:p>
      <w:pPr>
        <w:spacing w:line="480" w:lineRule="auto"/>
        <w:jc w:val="center"/>
        <w:rPr>
          <w:b/>
          <w:sz w:val="40"/>
        </w:rPr>
      </w:pPr>
    </w:p>
    <w:p>
      <w:pPr>
        <w:spacing w:before="120" w:beforeLines="50" w:after="120" w:afterLines="50"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自查指标：</w:t>
      </w:r>
      <w:r>
        <w:rPr>
          <w:rFonts w:hint="eastAsia" w:ascii="仿宋" w:hAnsi="仿宋" w:eastAsia="仿宋"/>
          <w:sz w:val="24"/>
        </w:rPr>
        <w:t>M1-</w:t>
      </w:r>
      <w:r>
        <w:rPr>
          <w:rFonts w:ascii="仿宋" w:hAnsi="仿宋" w:eastAsia="仿宋"/>
          <w:sz w:val="24"/>
        </w:rPr>
        <w:t xml:space="preserve">2 </w:t>
      </w:r>
      <w:r>
        <w:rPr>
          <w:rFonts w:hint="eastAsia" w:ascii="仿宋" w:hAnsi="仿宋" w:eastAsia="仿宋"/>
          <w:sz w:val="24"/>
        </w:rPr>
        <w:t>专业建设规划与实施</w:t>
      </w:r>
    </w:p>
    <w:p>
      <w:pPr>
        <w:spacing w:before="120" w:beforeLines="50" w:after="120" w:afterLines="50" w:line="360" w:lineRule="auto"/>
        <w:ind w:left="1405" w:hanging="1405" w:hangingChars="500"/>
        <w:rPr>
          <w:rFonts w:ascii="仿宋" w:hAnsi="仿宋" w:eastAsia="仿宋"/>
        </w:rPr>
      </w:pPr>
      <w:r>
        <w:rPr>
          <w:rFonts w:hint="eastAsia" w:ascii="宋体" w:hAnsi="宋体" w:eastAsia="宋体"/>
          <w:b/>
          <w:sz w:val="28"/>
          <w:szCs w:val="28"/>
        </w:rPr>
        <w:t>指标内涵：</w:t>
      </w:r>
      <w:r>
        <w:rPr>
          <w:rFonts w:hint="eastAsia" w:ascii="仿宋" w:hAnsi="仿宋" w:eastAsia="仿宋"/>
          <w:sz w:val="24"/>
          <w:lang w:val="en-US" w:eastAsia="zh-CN"/>
        </w:rPr>
        <w:t xml:space="preserve">3 </w:t>
      </w:r>
      <w:r>
        <w:rPr>
          <w:rFonts w:hint="eastAsia" w:ascii="仿宋" w:hAnsi="仿宋" w:eastAsia="仿宋"/>
          <w:sz w:val="24"/>
        </w:rPr>
        <w:t>实施</w:t>
      </w:r>
      <w:r>
        <w:rPr>
          <w:rFonts w:ascii="仿宋" w:hAnsi="仿宋" w:eastAsia="仿宋"/>
          <w:sz w:val="24"/>
        </w:rPr>
        <w:t>方案切实</w:t>
      </w:r>
      <w:r>
        <w:rPr>
          <w:rFonts w:hint="eastAsia" w:ascii="仿宋" w:hAnsi="仿宋" w:eastAsia="仿宋"/>
          <w:sz w:val="24"/>
        </w:rPr>
        <w:t>可行，</w:t>
      </w:r>
      <w:bookmarkStart w:id="2" w:name="_GoBack"/>
      <w:bookmarkEnd w:id="2"/>
      <w:r>
        <w:rPr>
          <w:rFonts w:hint="eastAsia" w:ascii="仿宋" w:hAnsi="仿宋" w:eastAsia="仿宋"/>
          <w:sz w:val="24"/>
        </w:rPr>
        <w:t>进展良好，进行周期性诊断</w:t>
      </w:r>
      <w:r>
        <w:rPr>
          <w:rFonts w:ascii="仿宋" w:hAnsi="仿宋" w:eastAsia="仿宋"/>
          <w:sz w:val="24"/>
        </w:rPr>
        <w:t>与</w:t>
      </w:r>
      <w:r>
        <w:rPr>
          <w:rFonts w:hint="eastAsia" w:ascii="仿宋" w:hAnsi="仿宋" w:eastAsia="仿宋"/>
          <w:sz w:val="24"/>
        </w:rPr>
        <w:t>改进。</w:t>
      </w:r>
    </w:p>
    <w:p>
      <w:pPr>
        <w:widowControl/>
        <w:spacing w:before="120" w:beforeLines="50" w:after="120" w:afterLines="50" w:line="360" w:lineRule="auto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 xml:space="preserve">材料目录：  </w:t>
      </w:r>
      <w:r>
        <w:rPr>
          <w:rFonts w:ascii="宋体" w:hAnsi="宋体" w:eastAsia="宋体"/>
          <w:b/>
          <w:sz w:val="28"/>
          <w:szCs w:val="28"/>
        </w:rPr>
        <w:t xml:space="preserve"> </w:t>
      </w:r>
    </w:p>
    <w:p>
      <w:pPr>
        <w:spacing w:before="120" w:beforeLines="50" w:after="120" w:afterLines="50" w:line="360" w:lineRule="auto"/>
        <w:ind w:left="1050" w:hanging="1050" w:hangingChars="500"/>
      </w:pPr>
      <w:r>
        <w:rPr>
          <w:rFonts w:hint="eastAsia"/>
        </w:rPr>
        <w:t xml:space="preserve">          材料1</w:t>
      </w:r>
      <w:r>
        <w:t xml:space="preserve">  </w:t>
      </w:r>
      <w:r>
        <w:rPr>
          <w:rFonts w:hint="eastAsia"/>
        </w:rPr>
        <w:t>建筑工程施工专业建设阶段总结</w:t>
      </w:r>
      <w:r>
        <w:t xml:space="preserve"> </w:t>
      </w:r>
      <w:r>
        <w:rPr>
          <w:rFonts w:hint="eastAsia"/>
        </w:rPr>
        <w:t xml:space="preserve">        </w:t>
      </w:r>
      <w:r>
        <w:t xml:space="preserve">  </w:t>
      </w:r>
      <w:r>
        <w:rPr>
          <w:rFonts w:hint="eastAsia"/>
        </w:rPr>
        <w:t xml:space="preserve"> </w:t>
      </w:r>
      <w:r>
        <w:t xml:space="preserve">             </w:t>
      </w:r>
      <w:r>
        <w:rPr>
          <w:rFonts w:hint="eastAsia"/>
        </w:rPr>
        <w:t xml:space="preserve">        </w:t>
      </w:r>
      <w:r>
        <w:t xml:space="preserve"> </w:t>
      </w:r>
      <w:r>
        <w:rPr>
          <w:rFonts w:hint="eastAsia" w:asciiTheme="minorEastAsia" w:hAnsiTheme="minorEastAsia"/>
        </w:rPr>
        <w:t>………</w:t>
      </w:r>
      <w:r>
        <w:fldChar w:fldCharType="begin"/>
      </w:r>
      <w:r>
        <w:instrText xml:space="preserve"> HYPERLINK \l "_材料1" </w:instrText>
      </w:r>
      <w:r>
        <w:fldChar w:fldCharType="separate"/>
      </w:r>
      <w:r>
        <w:rPr>
          <w:rStyle w:val="18"/>
          <w:rFonts w:hint="eastAsia" w:asciiTheme="minorEastAsia" w:hAnsiTheme="minorEastAsia"/>
        </w:rPr>
        <w:t>1</w:t>
      </w:r>
      <w:r>
        <w:rPr>
          <w:rStyle w:val="18"/>
          <w:rFonts w:asciiTheme="minorEastAsia" w:hAnsiTheme="minorEastAsia"/>
        </w:rPr>
        <w:fldChar w:fldCharType="end"/>
      </w:r>
    </w:p>
    <w:p>
      <w:pPr>
        <w:spacing w:before="120" w:beforeLines="50" w:after="120" w:afterLines="50" w:line="360" w:lineRule="auto"/>
        <w:ind w:left="1050" w:hanging="1050" w:hangingChars="500"/>
      </w:pPr>
      <w:r>
        <w:rPr>
          <w:rFonts w:hint="eastAsia"/>
        </w:rPr>
        <w:t xml:space="preserve">          材料2  关于执行教学计划、教学大纲的规定</w:t>
      </w:r>
      <w:r>
        <w:t xml:space="preserve">                    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   </w:t>
      </w:r>
      <w:r>
        <w:rPr>
          <w:rFonts w:hint="eastAsia" w:asciiTheme="minorEastAsia" w:hAnsiTheme="minorEastAsia"/>
        </w:rPr>
        <w:t>………</w:t>
      </w:r>
      <w:r>
        <w:fldChar w:fldCharType="begin"/>
      </w:r>
      <w:r>
        <w:instrText xml:space="preserve"> HYPERLINK \l "_材料2" </w:instrText>
      </w:r>
      <w:r>
        <w:fldChar w:fldCharType="separate"/>
      </w:r>
      <w:r>
        <w:rPr>
          <w:rStyle w:val="18"/>
          <w:rFonts w:asciiTheme="minorEastAsia" w:hAnsiTheme="minorEastAsia"/>
        </w:rPr>
        <w:t>4</w:t>
      </w:r>
      <w:r>
        <w:rPr>
          <w:rStyle w:val="18"/>
          <w:rFonts w:asciiTheme="minorEastAsia" w:hAnsiTheme="minorEastAsia"/>
        </w:rPr>
        <w:fldChar w:fldCharType="end"/>
      </w:r>
      <w:r>
        <w:rPr>
          <w:rFonts w:hint="eastAsia" w:asciiTheme="minorEastAsia" w:hAnsiTheme="minorEastAsia"/>
        </w:rPr>
        <w:t xml:space="preserve"> </w:t>
      </w:r>
    </w:p>
    <w:p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>
      <w:pPr>
        <w:pStyle w:val="3"/>
        <w:tabs>
          <w:tab w:val="left" w:pos="6789"/>
        </w:tabs>
      </w:pPr>
      <w:bookmarkStart w:id="0" w:name="_材料1"/>
      <w:bookmarkEnd w:id="0"/>
      <w:r>
        <w:rPr>
          <w:rFonts w:hint="eastAsia"/>
        </w:rPr>
        <w:t>材料1</w:t>
      </w:r>
    </w:p>
    <w:p>
      <w:pPr>
        <w:widowControl/>
        <w:spacing w:before="120" w:after="240" w:line="400" w:lineRule="atLeast"/>
        <w:ind w:left="76" w:leftChars="36" w:firstLine="1247" w:firstLineChars="345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24"/>
        </w:rPr>
        <w:t>建筑工程施工专业建设阶段总结</w:t>
      </w:r>
    </w:p>
    <w:p>
      <w:pPr>
        <w:widowControl/>
        <w:spacing w:before="120" w:after="120" w:line="400" w:lineRule="atLeas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　</w:t>
      </w:r>
    </w:p>
    <w:p>
      <w:pPr>
        <w:widowControl/>
        <w:spacing w:before="120" w:after="120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一、建筑工程施工专业概况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建筑工程施工专业始建于1981年，是学校重点建设专业之一。近年来毕业生就业率保持在95%以上，就业质量较高，工作表现突出，受到广泛好评。</w:t>
      </w:r>
    </w:p>
    <w:p>
      <w:pPr>
        <w:widowControl/>
        <w:spacing w:before="120" w:after="120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二、专业建设成果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几年来，通过对专业建设的不断探索，建筑工程施工专业在</w:t>
      </w:r>
      <w:r>
        <w:rPr>
          <w:rFonts w:hint="eastAsia" w:ascii="宋体" w:hAnsi="宋体" w:eastAsia="宋体" w:cs="宋体"/>
          <w:kern w:val="0"/>
          <w:sz w:val="24"/>
          <w:szCs w:val="24"/>
        </w:rPr>
        <w:t>人才培养模式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、课程体系构建、教学团队建设、教学方法手段改革、实训基地建设等方面进行了一系列探索，取得了一定的成效。</w:t>
      </w:r>
    </w:p>
    <w:p>
      <w:pPr>
        <w:widowControl/>
        <w:spacing w:before="120" w:after="120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1. 创新人才培养模式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按照“校企合作、产学结合、工学结合、行动导向”的改革思路，全面贯彻“行动导向”职业教学思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想，构建“拆分建造任务驱动”人才培养模式。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主建筑工程施工专业学生重点培养的是房屋建造的能力，而房屋是各种构件的建造和组装过程，知晓各类建筑的构造组成和传力途径是先决条件，因此，应先“分解”建筑，使学生掌握建筑的组成和传力，再进行房屋的“建造”。课程的安排自然分为拆分类课程和建造类课程。从一开始就在课程中引入房屋建造和项目的概念，师生共同经历先“拆房子”和后“建房子”的过程，通过“拆”了解房屋整体的构造和受力，学习建房所需的知识和技能；通过“建”掌握各分项目施工的工法和管理。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按照岗位工作内容和学</w:t>
      </w:r>
      <w:r>
        <w:rPr>
          <w:rFonts w:hint="eastAsia" w:ascii="宋体" w:hAnsi="宋体" w:eastAsia="宋体" w:cs="宋体"/>
          <w:kern w:val="0"/>
          <w:sz w:val="24"/>
          <w:szCs w:val="24"/>
        </w:rPr>
        <w:t>生的认知规律，将人才培养分为四个阶段。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（1）第一阶段：拆分建筑阶段（老师带领学生了解建筑）。利用校内实训基地，以“教、学、做”一体化模型为载体，拆分建筑，从认识表达建筑物的构成、理解构件受力传力和材料使用的角度设计拆分课程。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（2）第二阶段：建造建筑阶段（教师带领学生建造建筑）。利用校内实训基地，重点结合基于工作过程、行动导向的课程体系和“项目导向”教学方法进行教学，培养岗位所需职业素质和技能。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3）第三阶段：校内综合实务训练阶段（学生用软件模拟建筑，教师辅导）。即第5学期在校进行综合网上虚拟训练。这个阶段是将单点知识和技能按照施工一线岗位工作程序进行串接，把建筑构件和楼房整体绘制成立体图，为顶岗实习的进行创造条件。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（4）第四阶段：顶岗实习阶段（学生在企业独立建造建筑）。这个阶段是实战过程，是前三阶段的学习成果在建筑施工中的应用，通过锻炼使学生具备岗位工作的基本能力。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这样，学生的学习内容不是抽象的，而是具体实在的，通过以“训练”为主的教学，以“岗位能力”为核心，以“工学结合”为切入点，形成了由简单到复杂、由单一到全面、讲学做结合、循序渐进的学习路径，符合认知规律，解决了以往教学内容缺乏联系、学习目的不明确的问题，保证了人才培养目标的实现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before="120" w:after="120" w:line="400" w:lineRule="atLeast"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 基于工作过程，构建课程体系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基于工作过程的人才培养课程体系是将学习过程与工作过程相结合，学生职业能力培养和个性发展相结合，将职业工作作为一个整体化的过程进行分析，构建的是工作过程完整的学习过程，是理论与实践教育一体化的课程体系。能够实现学生专业能力、方法能力和社会能力的培养。课程体系见表1。</w:t>
      </w:r>
    </w:p>
    <w:p>
      <w:pPr>
        <w:widowControl/>
        <w:spacing w:before="120" w:after="100" w:afterAutospacing="1" w:line="400" w:lineRule="atLeast"/>
        <w:ind w:hanging="360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表1 建筑工程施工专业课程体系一览表</w:t>
      </w:r>
    </w:p>
    <w:tbl>
      <w:tblPr>
        <w:tblStyle w:val="12"/>
        <w:tblW w:w="49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48"/>
        <w:gridCol w:w="2213"/>
        <w:gridCol w:w="430"/>
        <w:gridCol w:w="2895"/>
        <w:gridCol w:w="430"/>
        <w:gridCol w:w="1728"/>
        <w:gridCol w:w="430"/>
        <w:gridCol w:w="11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2" w:type="pct"/>
            <w:vMerge w:val="restart"/>
            <w:tcBorders>
              <w:top w:val="single" w:color="auto" w:sz="12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 w:line="2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24"/>
              </w:rPr>
              <w:t>拆分建筑阶段课程</w:t>
            </w:r>
          </w:p>
        </w:tc>
        <w:tc>
          <w:tcPr>
            <w:tcW w:w="1096" w:type="pct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 w:line="30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建筑工程施工专业概论</w:t>
            </w:r>
          </w:p>
        </w:tc>
        <w:tc>
          <w:tcPr>
            <w:tcW w:w="213" w:type="pct"/>
            <w:vMerge w:val="restart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 w:line="2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24"/>
              </w:rPr>
              <w:t>建造建筑阶段课程</w:t>
            </w:r>
          </w:p>
        </w:tc>
        <w:tc>
          <w:tcPr>
            <w:tcW w:w="1434" w:type="pct"/>
            <w:tcBorders>
              <w:top w:val="single" w:color="auto" w:sz="12" w:space="0"/>
              <w:left w:val="nil"/>
              <w:bottom w:val="single" w:color="000000" w:sz="8" w:space="0"/>
              <w:right w:val="single" w:color="auto" w:sz="12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 w:line="30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建筑工程测量</w:t>
            </w:r>
          </w:p>
        </w:tc>
        <w:tc>
          <w:tcPr>
            <w:tcW w:w="213" w:type="pct"/>
            <w:vMerge w:val="restart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 w:line="2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24"/>
              </w:rPr>
              <w:t>校内综合实务训练阶段课程</w:t>
            </w:r>
          </w:p>
        </w:tc>
        <w:tc>
          <w:tcPr>
            <w:tcW w:w="856" w:type="pct"/>
            <w:vMerge w:val="restart"/>
            <w:tcBorders>
              <w:top w:val="single" w:color="000000" w:sz="12" w:space="0"/>
              <w:left w:val="nil"/>
              <w:bottom w:val="single" w:color="auto" w:sz="8" w:space="0"/>
              <w:right w:val="single" w:color="000000" w:sz="12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施工图识培训</w:t>
            </w:r>
          </w:p>
        </w:tc>
        <w:tc>
          <w:tcPr>
            <w:tcW w:w="213" w:type="pct"/>
            <w:vMerge w:val="restart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 w:line="2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24"/>
              </w:rPr>
              <w:t>顶岗实习阶段课程</w:t>
            </w:r>
          </w:p>
        </w:tc>
        <w:tc>
          <w:tcPr>
            <w:tcW w:w="550" w:type="pct"/>
            <w:vMerge w:val="restart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 w:line="30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岗位综合实训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12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建筑识图与绘图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4" w:type="pct"/>
            <w:tcBorders>
              <w:top w:val="nil"/>
              <w:left w:val="nil"/>
              <w:bottom w:val="single" w:color="000000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建筑施工技术基础知识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auto" w:sz="8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12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建筑构造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4" w:type="pct"/>
            <w:tcBorders>
              <w:top w:val="nil"/>
              <w:left w:val="nil"/>
              <w:bottom w:val="single" w:color="000000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建筑施工组织与管理基础知识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auto" w:sz="8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12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建筑材料与检测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4" w:type="pct"/>
            <w:tcBorders>
              <w:top w:val="nil"/>
              <w:left w:val="nil"/>
              <w:bottom w:val="single" w:color="000000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混凝土结构施工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auto" w:sz="8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12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地基与基础施工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4" w:type="pct"/>
            <w:tcBorders>
              <w:top w:val="nil"/>
              <w:left w:val="nil"/>
              <w:bottom w:val="single" w:color="000000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砌体结构施工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6" w:type="pct"/>
            <w:vMerge w:val="restart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建筑模型软件BIMMAKE培训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12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主体结构施工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4" w:type="pct"/>
            <w:tcBorders>
              <w:top w:val="nil"/>
              <w:left w:val="nil"/>
              <w:bottom w:val="single" w:color="000000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建筑工程计量计价与成本控制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12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建筑设备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4" w:type="pct"/>
            <w:tcBorders>
              <w:top w:val="nil"/>
              <w:left w:val="nil"/>
              <w:bottom w:val="single" w:color="000000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建筑工程资料编制与归档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single" w:color="auto" w:sz="12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000000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4" w:type="pct"/>
            <w:tcBorders>
              <w:top w:val="nil"/>
              <w:left w:val="nil"/>
              <w:bottom w:val="single" w:color="000000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60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建筑工程质量检查与验收</w:t>
            </w: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before="120" w:after="120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3. 建设结构合理、素质一流的专业教学团队。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采用项目引导教学法组织实施教学，渗透工学结合的教学思想。教学方法逐步全面过渡为项目引导教学法，组建由专业教师和企业技术人员组成的专业教学指导团队，根据工作过程的要求设置教学项目，借助校内外实训基地，依据企业、行业标准，以一个完整的项目实施教学，按照建筑行业施工现场设置环境，通过现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场实物展开教学，采用互动合作方式帮助学生完成具体工作。学生在具有真实职业情境的校内实训基地进行学习和培训，在教学过程中，教师是组织者与协调人，强调学生的主体地位，让学生通过独立获取信息、独立制定计划、独立实施计划、独立检查、独立评估的工作过程，在自己“动手”的实践中，习得岗位职业技能，掌握专业知识，构建属于自己的工作经验和知识体系。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校内教育期间采取模拟和实际相结合的方法，学生在建筑实训基地“教、学、做”一体化模型真实的工作环境中去锻炼，安排学生既要动脑又要动手，实现工学结合，培养学生的专项能力。校外教育期间，工作内容和外部环境完全处于真实的工作状态，全过程渗透工学结合的教学思想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before="100" w:beforeAutospacing="1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4. 加强实践教学基地建设，提高实践课教师队伍的素质</w:t>
      </w:r>
    </w:p>
    <w:p>
      <w:pPr>
        <w:widowControl/>
        <w:spacing w:before="100" w:beforeAutospacing="1" w:after="100" w:afterAutospacing="1" w:line="400" w:lineRule="atLeast"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进一步改善实践教学条件，在校内按照“营造真实环境，进行生产性实训”的原则建设校内实训基地，满足专业教学要求，以“训练”为主、“讲学做”相结合，为学生建立一个仿真的学习环境。在校外可以与企业联办实训基地，建立校企双赢的合作机制。实训基地的建设，不仅提高了学生的实践动手能力，也增强了教师的实践能力，为“双师型”教师的培养创造了良好的条件，为教学质量的提高提供了硬件保证。同时，也充分发挥外聘兼职教师在高职实践技能培养方面的优势。</w:t>
      </w:r>
    </w:p>
    <w:p>
      <w:pPr>
        <w:widowControl/>
        <w:spacing w:before="156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三、展望</w:t>
      </w:r>
    </w:p>
    <w:p>
      <w:pPr>
        <w:widowControl/>
        <w:spacing w:before="156" w:after="100" w:afterAutospacing="1" w:line="40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多年以来，建筑工程施工专业的每一步发展都得到了院系领导和行业、企业的大力支持与帮助，今后建筑工程施工专业将继续深化改革，进一步优化人才培养方案，努力提高教学效果与教学质量，带动相关专业的发展，为合作行业企业提供直接的优质服务，为地方经济的发展做出积极的贡献。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widowControl/>
        <w:jc w:val="left"/>
      </w:pPr>
      <w:r>
        <w:br w:type="page"/>
      </w:r>
    </w:p>
    <w:p>
      <w:pPr>
        <w:pStyle w:val="3"/>
      </w:pPr>
      <w:bookmarkStart w:id="1" w:name="_材料2"/>
      <w:bookmarkEnd w:id="1"/>
      <w:r>
        <w:rPr>
          <w:rFonts w:hint="eastAsia"/>
        </w:rPr>
        <w:t>材料2</w:t>
      </w:r>
    </w:p>
    <w:p>
      <w:r>
        <w:drawing>
          <wp:inline distT="0" distB="0" distL="0" distR="0">
            <wp:extent cx="5076825" cy="7000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822" w:bottom="1418" w:left="1418" w:header="851" w:footer="851" w:gutter="0"/>
      <w:pgNumType w:start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4339540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BlNGFjYmM2YmNlZDMyYTZjZjBmNWZlODhiZjgxNjMifQ=="/>
  </w:docVars>
  <w:rsids>
    <w:rsidRoot w:val="00E50C60"/>
    <w:rsid w:val="00024146"/>
    <w:rsid w:val="0013153D"/>
    <w:rsid w:val="00197ABA"/>
    <w:rsid w:val="002635CC"/>
    <w:rsid w:val="002832AF"/>
    <w:rsid w:val="00293A0C"/>
    <w:rsid w:val="003144C0"/>
    <w:rsid w:val="003543AA"/>
    <w:rsid w:val="003A0E44"/>
    <w:rsid w:val="003E1B3F"/>
    <w:rsid w:val="005F58FD"/>
    <w:rsid w:val="0065400A"/>
    <w:rsid w:val="00654C66"/>
    <w:rsid w:val="00792F4F"/>
    <w:rsid w:val="008100EF"/>
    <w:rsid w:val="009026C0"/>
    <w:rsid w:val="00947E7D"/>
    <w:rsid w:val="00A772A5"/>
    <w:rsid w:val="00B00321"/>
    <w:rsid w:val="00C33486"/>
    <w:rsid w:val="00C37969"/>
    <w:rsid w:val="00C51DAD"/>
    <w:rsid w:val="00DC1022"/>
    <w:rsid w:val="00DF030E"/>
    <w:rsid w:val="00E50C60"/>
    <w:rsid w:val="00ED0E1B"/>
    <w:rsid w:val="00F4427B"/>
    <w:rsid w:val="0A5256CA"/>
    <w:rsid w:val="0E50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0" w:semiHidden="0" w:name="toc 1"/>
    <w:lsdException w:qFormat="1" w:uiPriority="0" w:semiHidden="0" w:name="toc 2"/>
    <w:lsdException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uiPriority w:val="0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5">
    <w:name w:val="Plain Text"/>
    <w:basedOn w:val="1"/>
    <w:link w:val="25"/>
    <w:uiPriority w:val="0"/>
    <w:rPr>
      <w:rFonts w:ascii="宋体" w:hAnsi="Courier New" w:eastAsia="宋体" w:cs="Times New Roman"/>
      <w:szCs w:val="20"/>
    </w:rPr>
  </w:style>
  <w:style w:type="paragraph" w:styleId="6">
    <w:name w:val="footer"/>
    <w:basedOn w:val="1"/>
    <w:link w:val="2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0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0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9">
    <w:name w:val="toc 2"/>
    <w:basedOn w:val="1"/>
    <w:next w:val="1"/>
    <w:unhideWhenUsed/>
    <w:qFormat/>
    <w:uiPriority w:val="0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0">
    <w:name w:val="HTML Preformatted"/>
    <w:basedOn w:val="1"/>
    <w:link w:val="26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11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  <w:rPr>
      <w:rFonts w:ascii="Times New Roman" w:hAnsi="Times New Roman" w:eastAsia="宋体" w:cs="Times New Roman"/>
    </w:rPr>
  </w:style>
  <w:style w:type="character" w:styleId="16">
    <w:name w:val="FollowedHyperlink"/>
    <w:basedOn w:val="14"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basedOn w:val="14"/>
    <w:unhideWhenUsed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页眉 字符"/>
    <w:basedOn w:val="14"/>
    <w:link w:val="7"/>
    <w:uiPriority w:val="99"/>
    <w:rPr>
      <w:sz w:val="18"/>
      <w:szCs w:val="18"/>
    </w:rPr>
  </w:style>
  <w:style w:type="character" w:customStyle="1" w:styleId="21">
    <w:name w:val="页脚 字符"/>
    <w:basedOn w:val="14"/>
    <w:link w:val="6"/>
    <w:uiPriority w:val="99"/>
    <w:rPr>
      <w:sz w:val="18"/>
      <w:szCs w:val="18"/>
    </w:rPr>
  </w:style>
  <w:style w:type="character" w:customStyle="1" w:styleId="22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paragraph" w:customStyle="1" w:styleId="23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24">
    <w:name w:val="标题 2 字符"/>
    <w:basedOn w:val="14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纯文本 字符"/>
    <w:basedOn w:val="14"/>
    <w:link w:val="5"/>
    <w:uiPriority w:val="0"/>
    <w:rPr>
      <w:rFonts w:ascii="宋体" w:hAnsi="Courier New" w:eastAsia="宋体" w:cs="Times New Roman"/>
      <w:szCs w:val="20"/>
    </w:rPr>
  </w:style>
  <w:style w:type="character" w:customStyle="1" w:styleId="26">
    <w:name w:val="HTML 预设格式 字符"/>
    <w:basedOn w:val="14"/>
    <w:link w:val="10"/>
    <w:uiPriority w:val="0"/>
    <w:rPr>
      <w:rFonts w:ascii="Arial" w:hAnsi="Arial" w:eastAsia="宋体" w:cs="Arial"/>
      <w:kern w:val="0"/>
      <w:sz w:val="24"/>
      <w:szCs w:val="24"/>
    </w:rPr>
  </w:style>
  <w:style w:type="table" w:customStyle="1" w:styleId="27">
    <w:name w:val="网格型1"/>
    <w:basedOn w:val="12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">
    <w:name w:val="表内容 Char"/>
    <w:link w:val="29"/>
    <w:uiPriority w:val="0"/>
    <w:rPr>
      <w:rFonts w:eastAsia="仿宋_GB2312" w:cs="宋体"/>
    </w:rPr>
  </w:style>
  <w:style w:type="paragraph" w:customStyle="1" w:styleId="29">
    <w:name w:val="表内容"/>
    <w:basedOn w:val="1"/>
    <w:link w:val="28"/>
    <w:uiPriority w:val="0"/>
    <w:pPr>
      <w:adjustRightInd w:val="0"/>
      <w:snapToGrid w:val="0"/>
      <w:spacing w:line="360" w:lineRule="exact"/>
      <w:jc w:val="center"/>
    </w:pPr>
    <w:rPr>
      <w:rFonts w:eastAsia="仿宋_GB2312" w:cs="宋体"/>
    </w:rPr>
  </w:style>
  <w:style w:type="paragraph" w:customStyle="1" w:styleId="30">
    <w:name w:val="reader-word-layer reader-word-s15-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1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2">
    <w:name w:val="WPSOffice手动目录 1"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33">
    <w:name w:val="reader-word-layer reader-word-s1-1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4">
    <w:name w:val="reader-word-layer reader-word-s2-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5">
    <w:name w:val="表框"/>
    <w:basedOn w:val="1"/>
    <w:uiPriority w:val="0"/>
    <w:pPr>
      <w:spacing w:line="240" w:lineRule="exact"/>
      <w:jc w:val="center"/>
    </w:pPr>
    <w:rPr>
      <w:rFonts w:ascii="Times New Roman" w:hAnsi="Times New Roman" w:eastAsia="宋体" w:cs="Times New Roman"/>
      <w:b/>
      <w:szCs w:val="20"/>
    </w:rPr>
  </w:style>
  <w:style w:type="paragraph" w:customStyle="1" w:styleId="36">
    <w:name w:val="reader-word-layer reader-word-s4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7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38">
    <w:name w:val="reader-word-layer reader-word-s1-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9">
    <w:name w:val="reader-word-layer reader-word-s2-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0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41">
    <w:name w:val="reader-word-layer reader-word-s1-10 reader-word-s1-1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23744-340B-4771-B76B-46F3183532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5</Pages>
  <Words>385</Words>
  <Characters>2201</Characters>
  <Lines>18</Lines>
  <Paragraphs>5</Paragraphs>
  <TotalTime>20</TotalTime>
  <ScaleCrop>false</ScaleCrop>
  <LinksUpToDate>false</LinksUpToDate>
  <CharactersWithSpaces>2581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2023-11-23T06:21:00Z</dcterms:created>
  <dc:creator>SkyUser</dc:creator>
  <cp:lastModifiedBy>岁月</cp:lastModifiedBy>
  <dcterms:modified xsi:type="dcterms:W3CDTF">2023-12-01T12:07:44Z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9230B0D99B62494DA914095E9B7640D1_12</vt:lpwstr>
  </property>
</Properties>
</file>